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EAA3" w14:textId="77777777" w:rsidR="002F7F65" w:rsidRDefault="002F7F65" w:rsidP="00CA591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7E1677" wp14:editId="7C7F399E">
            <wp:extent cx="2103452" cy="866775"/>
            <wp:effectExtent l="0" t="0" r="0" b="0"/>
            <wp:docPr id="1384115623" name="Picture 1" descr="A orange flam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15623" name="Picture 1" descr="A orange flame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379" cy="87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DEBD" w14:textId="7DD2F3BF" w:rsidR="00CA591F" w:rsidRPr="00CA591F" w:rsidRDefault="00CA591F" w:rsidP="00CA591F">
      <w:pPr>
        <w:jc w:val="center"/>
        <w:rPr>
          <w:b/>
          <w:bCs/>
        </w:rPr>
      </w:pPr>
      <w:r w:rsidRPr="00CA591F">
        <w:rPr>
          <w:b/>
          <w:bCs/>
        </w:rPr>
        <w:t>The Dale Jr. Foundation Grant Guidelines</w:t>
      </w:r>
    </w:p>
    <w:p w14:paraId="76BE3469" w14:textId="2768FA8A" w:rsidR="00CA591F" w:rsidRPr="00CA591F" w:rsidRDefault="00CA591F" w:rsidP="00CA591F">
      <w:r w:rsidRPr="00CA591F">
        <w:rPr>
          <w:b/>
          <w:bCs/>
        </w:rPr>
        <w:t>Mission Statement:</w:t>
      </w:r>
      <w:r>
        <w:rPr>
          <w:b/>
          <w:bCs/>
        </w:rPr>
        <w:t xml:space="preserve"> </w:t>
      </w:r>
      <w:r>
        <w:t xml:space="preserve">The Dale Jr. Foundation is a charity dedicated to giving underprivileged individuals, </w:t>
      </w:r>
      <w:r w:rsidRPr="00F55FE2">
        <w:rPr>
          <w:i/>
          <w:iCs/>
        </w:rPr>
        <w:t>with a focus on youth</w:t>
      </w:r>
      <w:r>
        <w:t>, the resources to improve their confidence and education, and the opportunity to achieve extraordinary goals.</w:t>
      </w:r>
    </w:p>
    <w:p w14:paraId="5A7E5B81" w14:textId="1FE78E48" w:rsidR="00CA591F" w:rsidRDefault="00CA591F" w:rsidP="00CA591F">
      <w:r w:rsidRPr="00CA591F">
        <w:rPr>
          <w:b/>
          <w:bCs/>
        </w:rPr>
        <w:t>Geographic Focus</w:t>
      </w:r>
      <w:r>
        <w:t xml:space="preserve">: While The Dale Jr. Foundation proudly supports organizations across the United States, the majority of our grantmaking is focused </w:t>
      </w:r>
      <w:r w:rsidR="00AE442B">
        <w:t xml:space="preserve">in </w:t>
      </w:r>
      <w:r w:rsidR="00AB1399">
        <w:t xml:space="preserve">North </w:t>
      </w:r>
      <w:r w:rsidR="003A5D45">
        <w:t>Carolina</w:t>
      </w:r>
      <w:r>
        <w:t>, where we strive to make the greatest local impact. A limited number of grants may be awarded to organizations located in other states that align closely with our mission and areas of giving.</w:t>
      </w:r>
    </w:p>
    <w:p w14:paraId="0349E0BF" w14:textId="77777777" w:rsidR="00AE0AB5" w:rsidRDefault="00AE442B" w:rsidP="00AE0AB5">
      <w:pPr>
        <w:jc w:val="center"/>
        <w:rPr>
          <w:b/>
          <w:bCs/>
          <w:sz w:val="28"/>
          <w:szCs w:val="28"/>
        </w:rPr>
      </w:pPr>
      <w:r w:rsidRPr="00AE442B">
        <w:rPr>
          <w:b/>
          <w:bCs/>
          <w:sz w:val="28"/>
          <w:szCs w:val="28"/>
        </w:rPr>
        <w:t xml:space="preserve">We invest in the initiatives and programs that align with our </w:t>
      </w:r>
    </w:p>
    <w:p w14:paraId="17A04E21" w14:textId="443F9F3B" w:rsidR="00AE442B" w:rsidRPr="00AE442B" w:rsidRDefault="00AE442B" w:rsidP="00AE0AB5">
      <w:pPr>
        <w:jc w:val="center"/>
        <w:rPr>
          <w:b/>
          <w:bCs/>
          <w:sz w:val="28"/>
          <w:szCs w:val="28"/>
        </w:rPr>
      </w:pPr>
      <w:r w:rsidRPr="00AE442B">
        <w:rPr>
          <w:b/>
          <w:bCs/>
          <w:sz w:val="28"/>
          <w:szCs w:val="28"/>
        </w:rPr>
        <w:t>Areas of Giving</w:t>
      </w:r>
    </w:p>
    <w:p w14:paraId="57B3D255" w14:textId="52227FDF" w:rsidR="00CA591F" w:rsidRPr="000A40D6" w:rsidRDefault="00CA591F" w:rsidP="00CA591F">
      <w:pPr>
        <w:rPr>
          <w:b/>
          <w:bCs/>
        </w:rPr>
      </w:pPr>
      <w:r w:rsidRPr="00CA591F">
        <w:rPr>
          <w:b/>
          <w:bCs/>
        </w:rPr>
        <w:t>Areas of Giving</w:t>
      </w:r>
      <w:r>
        <w:rPr>
          <w:b/>
          <w:bCs/>
        </w:rPr>
        <w:t xml:space="preserve">: </w:t>
      </w:r>
      <w:r w:rsidR="00A53C2C" w:rsidRPr="00A53C2C">
        <w:t>The mission of the grantee and the</w:t>
      </w:r>
      <w:r w:rsidR="00A53C2C">
        <w:rPr>
          <w:b/>
          <w:bCs/>
        </w:rPr>
        <w:t xml:space="preserve"> </w:t>
      </w:r>
      <w:r w:rsidR="00A53C2C">
        <w:t>g</w:t>
      </w:r>
      <w:r>
        <w:t xml:space="preserve">rant requests must </w:t>
      </w:r>
      <w:r w:rsidR="00A53C2C">
        <w:t xml:space="preserve">primarily </w:t>
      </w:r>
      <w:r>
        <w:t>align with at least one of the Foundation’s five key areas of giving</w:t>
      </w:r>
      <w:r w:rsidR="00F53F9B">
        <w:t xml:space="preserve"> </w:t>
      </w:r>
      <w:r w:rsidR="00F53F9B" w:rsidRPr="00D72084">
        <w:rPr>
          <w:i/>
          <w:iCs/>
        </w:rPr>
        <w:t>with a focus on youth</w:t>
      </w:r>
      <w:r>
        <w:t>:</w:t>
      </w:r>
      <w:r w:rsidR="000A40D6">
        <w:rPr>
          <w:b/>
          <w:bCs/>
        </w:rPr>
        <w:br/>
      </w:r>
      <w:r>
        <w:t>Hope – Programs that inspire optimism and resilience in the face of adversity.</w:t>
      </w:r>
      <w:r w:rsidR="000A40D6">
        <w:br/>
      </w:r>
      <w:r>
        <w:t>Hunger – Initiatives that address food insecurity and provide access to nutritious meals.</w:t>
      </w:r>
      <w:r w:rsidR="000A40D6">
        <w:br/>
      </w:r>
      <w:r>
        <w:t>Education – Efforts that support academic achievement, literacy, and access to learning resources.</w:t>
      </w:r>
      <w:r w:rsidR="000A40D6">
        <w:br/>
      </w:r>
      <w:r>
        <w:t>Wellness – Programs that promote physical, emotional, or mental well-being.</w:t>
      </w:r>
      <w:r w:rsidR="000A40D6">
        <w:br/>
      </w:r>
      <w:r>
        <w:t xml:space="preserve">Empowerment – Initiatives that equip individuals, </w:t>
      </w:r>
      <w:r w:rsidRPr="00D0375D">
        <w:rPr>
          <w:i/>
          <w:iCs/>
        </w:rPr>
        <w:t>particularly youth</w:t>
      </w:r>
      <w:r>
        <w:t>, with the tools and confidence to reach their full potential.</w:t>
      </w:r>
    </w:p>
    <w:p w14:paraId="51E64139" w14:textId="229053EB" w:rsidR="00BA0A48" w:rsidRPr="00BA0A48" w:rsidRDefault="00CA591F" w:rsidP="00BA0A48">
      <w:pPr>
        <w:rPr>
          <w:b/>
          <w:bCs/>
        </w:rPr>
      </w:pPr>
      <w:r w:rsidRPr="00CA591F">
        <w:rPr>
          <w:b/>
          <w:bCs/>
        </w:rPr>
        <w:t>Eligibility Requirements</w:t>
      </w:r>
      <w:r>
        <w:t xml:space="preserve">: </w:t>
      </w:r>
      <w:r w:rsidR="00BA0A48" w:rsidRPr="00BA0A48">
        <w:t>To be eligible for consideration, organizations must meet the following criteria:</w:t>
      </w:r>
    </w:p>
    <w:p w14:paraId="09611841" w14:textId="2F6D6272" w:rsidR="00BA0A48" w:rsidRPr="00BA0A48" w:rsidRDefault="00BA0A48" w:rsidP="00BA0A48">
      <w:pPr>
        <w:numPr>
          <w:ilvl w:val="0"/>
          <w:numId w:val="1"/>
        </w:numPr>
      </w:pPr>
      <w:r w:rsidRPr="00BA0A48">
        <w:t xml:space="preserve">Must be a </w:t>
      </w:r>
      <w:r w:rsidRPr="00BA0A48">
        <w:rPr>
          <w:b/>
          <w:bCs/>
        </w:rPr>
        <w:t>501(c)(3) nonprofit organization</w:t>
      </w:r>
      <w:r w:rsidRPr="00BA0A48">
        <w:t xml:space="preserve"> in good standing.</w:t>
      </w:r>
      <w:r w:rsidR="008F7DC2">
        <w:t xml:space="preserve"> The organization must be in compliance with all state and federal </w:t>
      </w:r>
      <w:r w:rsidR="009F7FE6">
        <w:t>guidelines and adhere to best practices for non-profit organizations.</w:t>
      </w:r>
    </w:p>
    <w:p w14:paraId="6CEC2258" w14:textId="652BBB38" w:rsidR="00BA0A48" w:rsidRPr="007A35DB" w:rsidRDefault="00BA0A48" w:rsidP="00BA0A48">
      <w:pPr>
        <w:numPr>
          <w:ilvl w:val="0"/>
          <w:numId w:val="1"/>
        </w:numPr>
      </w:pPr>
      <w:r w:rsidRPr="00BA0A48">
        <w:t xml:space="preserve">Must operate programs that </w:t>
      </w:r>
      <w:r w:rsidR="009F7FE6">
        <w:t xml:space="preserve">primarily </w:t>
      </w:r>
      <w:r w:rsidRPr="00BA0A48">
        <w:t xml:space="preserve">align with </w:t>
      </w:r>
      <w:r w:rsidR="000A723A">
        <w:t xml:space="preserve">and fit </w:t>
      </w:r>
      <w:r w:rsidRPr="00BA0A48">
        <w:t>at least one of the Foundation’s five areas of giving</w:t>
      </w:r>
      <w:r w:rsidR="00946813">
        <w:t xml:space="preserve"> </w:t>
      </w:r>
      <w:r w:rsidR="00946813" w:rsidRPr="00D0375D">
        <w:t>with</w:t>
      </w:r>
      <w:r w:rsidR="00946813" w:rsidRPr="00D45248">
        <w:rPr>
          <w:i/>
          <w:iCs/>
        </w:rPr>
        <w:t xml:space="preserve"> </w:t>
      </w:r>
      <w:r w:rsidR="00946813" w:rsidRPr="00D0375D">
        <w:t>a focus on</w:t>
      </w:r>
      <w:r w:rsidR="00946813" w:rsidRPr="00D45248">
        <w:rPr>
          <w:i/>
          <w:iCs/>
        </w:rPr>
        <w:t xml:space="preserve"> underprivileged youth</w:t>
      </w:r>
      <w:r w:rsidR="000A723A">
        <w:rPr>
          <w:i/>
          <w:iCs/>
        </w:rPr>
        <w:t xml:space="preserve"> </w:t>
      </w:r>
      <w:r w:rsidR="000A723A" w:rsidRPr="007A35DB">
        <w:t>with a creative</w:t>
      </w:r>
      <w:r w:rsidR="005B31BA">
        <w:t>,</w:t>
      </w:r>
      <w:r w:rsidR="000A723A" w:rsidRPr="007A35DB">
        <w:t xml:space="preserve"> substantive approach to meet critical needs and/or </w:t>
      </w:r>
      <w:r w:rsidR="007A35DB" w:rsidRPr="007A35DB">
        <w:t>important emerging issues</w:t>
      </w:r>
      <w:r w:rsidRPr="007A35DB">
        <w:t>.</w:t>
      </w:r>
    </w:p>
    <w:p w14:paraId="39EE74AB" w14:textId="77777777" w:rsidR="00BA0A48" w:rsidRDefault="00BA0A48" w:rsidP="00BA0A48">
      <w:pPr>
        <w:numPr>
          <w:ilvl w:val="0"/>
          <w:numId w:val="1"/>
        </w:numPr>
      </w:pPr>
      <w:r w:rsidRPr="00BA0A48">
        <w:lastRenderedPageBreak/>
        <w:t>Must demonstrate measurable community impact and responsible fiscal management.</w:t>
      </w:r>
    </w:p>
    <w:p w14:paraId="53CEBA39" w14:textId="54CCCC67" w:rsidR="00AC3134" w:rsidRDefault="00AC3134" w:rsidP="00BA0A48">
      <w:pPr>
        <w:numPr>
          <w:ilvl w:val="0"/>
          <w:numId w:val="1"/>
        </w:numPr>
      </w:pPr>
      <w:r>
        <w:t xml:space="preserve">Program </w:t>
      </w:r>
      <w:r w:rsidR="00323844">
        <w:t xml:space="preserve">expense </w:t>
      </w:r>
      <w:r w:rsidR="008F2407">
        <w:t xml:space="preserve">efficiency </w:t>
      </w:r>
      <w:r w:rsidR="00323844">
        <w:t xml:space="preserve">ratio must </w:t>
      </w:r>
      <w:r w:rsidR="008F2407">
        <w:t xml:space="preserve">ideally </w:t>
      </w:r>
      <w:r w:rsidR="00323844">
        <w:t xml:space="preserve">be </w:t>
      </w:r>
      <w:r w:rsidR="00520B55">
        <w:t xml:space="preserve">at least </w:t>
      </w:r>
      <w:r w:rsidR="00323844">
        <w:t xml:space="preserve">75% </w:t>
      </w:r>
      <w:r w:rsidR="00520B55">
        <w:t>of budget</w:t>
      </w:r>
      <w:r w:rsidR="00323844">
        <w:t>.</w:t>
      </w:r>
      <w:r w:rsidR="008F2407">
        <w:t xml:space="preserve"> The F</w:t>
      </w:r>
      <w:r w:rsidR="00CE382B">
        <w:t xml:space="preserve">oundation may also evaluate other key metrics such as the concentration </w:t>
      </w:r>
      <w:r w:rsidR="00D13675">
        <w:t>ratio.</w:t>
      </w:r>
    </w:p>
    <w:p w14:paraId="2589A4E5" w14:textId="31C31737" w:rsidR="00D13675" w:rsidRPr="00BA0A48" w:rsidRDefault="00D13675" w:rsidP="00BA0A48">
      <w:pPr>
        <w:numPr>
          <w:ilvl w:val="0"/>
          <w:numId w:val="1"/>
        </w:numPr>
      </w:pPr>
      <w:r>
        <w:t>The length of time the Foundation has supported an organization may impact the proposal.</w:t>
      </w:r>
    </w:p>
    <w:p w14:paraId="41F0E7A5" w14:textId="1E512E9D" w:rsidR="00CA591F" w:rsidRDefault="00CA591F" w:rsidP="00BA0A48">
      <w:r w:rsidRPr="00BA0A48">
        <w:rPr>
          <w:b/>
          <w:bCs/>
        </w:rPr>
        <w:t xml:space="preserve">Grant Amounts: </w:t>
      </w:r>
      <w:r>
        <w:t>The maximum grant request is $</w:t>
      </w:r>
      <w:r w:rsidR="004110ED">
        <w:t>5,0</w:t>
      </w:r>
      <w:r>
        <w:t>00.</w:t>
      </w:r>
      <w:r w:rsidRPr="00BA0A48">
        <w:rPr>
          <w:b/>
          <w:bCs/>
        </w:rPr>
        <w:t xml:space="preserve"> </w:t>
      </w:r>
      <w:r>
        <w:t xml:space="preserve">Grant funds may be used for program support, </w:t>
      </w:r>
      <w:r w:rsidR="008F61A0">
        <w:t xml:space="preserve">capacity building project </w:t>
      </w:r>
      <w:r w:rsidR="003A651C">
        <w:t xml:space="preserve">support, </w:t>
      </w:r>
      <w:r>
        <w:t>supplies, or direct services. Requests for administrative or general operating expenses are less likely to be funded.</w:t>
      </w:r>
    </w:p>
    <w:p w14:paraId="5D93E8A1" w14:textId="004C70BC" w:rsidR="00076D8F" w:rsidRPr="00076D8F" w:rsidRDefault="00076D8F" w:rsidP="00076D8F">
      <w:pPr>
        <w:rPr>
          <w:b/>
          <w:bCs/>
        </w:rPr>
      </w:pPr>
      <w:r w:rsidRPr="00076D8F">
        <w:rPr>
          <w:b/>
          <w:bCs/>
        </w:rPr>
        <w:t>Not Eligible for Funding</w:t>
      </w:r>
      <w:r>
        <w:rPr>
          <w:b/>
          <w:bCs/>
        </w:rPr>
        <w:t xml:space="preserve">: </w:t>
      </w:r>
      <w:r w:rsidRPr="00076D8F">
        <w:t xml:space="preserve">The Dale Jr. Foundation does </w:t>
      </w:r>
      <w:r w:rsidRPr="00076D8F">
        <w:rPr>
          <w:b/>
          <w:bCs/>
        </w:rPr>
        <w:t>not</w:t>
      </w:r>
      <w:r w:rsidRPr="00076D8F">
        <w:t xml:space="preserve"> provide funding for:</w:t>
      </w:r>
    </w:p>
    <w:p w14:paraId="0E504541" w14:textId="0B0B925C" w:rsidR="00076D8F" w:rsidRPr="00076D8F" w:rsidRDefault="00076D8F" w:rsidP="00076D8F">
      <w:pPr>
        <w:numPr>
          <w:ilvl w:val="0"/>
          <w:numId w:val="2"/>
        </w:numPr>
      </w:pPr>
      <w:r w:rsidRPr="00076D8F">
        <w:t>Individuals or families</w:t>
      </w:r>
      <w:r w:rsidR="00D0562C">
        <w:t>.</w:t>
      </w:r>
    </w:p>
    <w:p w14:paraId="6D6C5F25" w14:textId="2B7603B2" w:rsidR="00076D8F" w:rsidRPr="00076D8F" w:rsidRDefault="00D64851" w:rsidP="00076D8F">
      <w:pPr>
        <w:numPr>
          <w:ilvl w:val="0"/>
          <w:numId w:val="2"/>
        </w:numPr>
      </w:pPr>
      <w:r>
        <w:t>Educational institutions, civic groups, s</w:t>
      </w:r>
      <w:r w:rsidR="005012A7">
        <w:t xml:space="preserve">chool </w:t>
      </w:r>
      <w:r w:rsidR="00076D8F" w:rsidRPr="00076D8F">
        <w:t>PTA</w:t>
      </w:r>
      <w:r w:rsidR="003F4E5B">
        <w:t>’</w:t>
      </w:r>
      <w:r w:rsidR="00076D8F" w:rsidRPr="00076D8F">
        <w:t>s,</w:t>
      </w:r>
      <w:r w:rsidR="005012A7">
        <w:t xml:space="preserve"> athletic associations</w:t>
      </w:r>
      <w:r w:rsidR="004A1BB3">
        <w:t>, art</w:t>
      </w:r>
      <w:r w:rsidR="00757FC5">
        <w:t>,</w:t>
      </w:r>
      <w:r>
        <w:t xml:space="preserve"> music </w:t>
      </w:r>
      <w:r w:rsidR="00757FC5">
        <w:t>or</w:t>
      </w:r>
      <w:r w:rsidR="004A1BB3">
        <w:t xml:space="preserve"> dance programs</w:t>
      </w:r>
      <w:r w:rsidR="00BA5A8D">
        <w:t>, scouting</w:t>
      </w:r>
      <w:r w:rsidR="00076D8F" w:rsidRPr="00076D8F">
        <w:t xml:space="preserve"> or booster clubs</w:t>
      </w:r>
      <w:r w:rsidR="003A651C">
        <w:t>.</w:t>
      </w:r>
    </w:p>
    <w:p w14:paraId="718B10AA" w14:textId="19FFF2A0" w:rsidR="00076D8F" w:rsidRDefault="003A651C" w:rsidP="00076D8F">
      <w:pPr>
        <w:numPr>
          <w:ilvl w:val="0"/>
          <w:numId w:val="2"/>
        </w:numPr>
      </w:pPr>
      <w:r>
        <w:t>Annual appeals, e</w:t>
      </w:r>
      <w:r w:rsidR="00076D8F" w:rsidRPr="00076D8F">
        <w:t>ndowment funds, capital campaigns, or building projects</w:t>
      </w:r>
      <w:r w:rsidR="00D0562C">
        <w:t>.</w:t>
      </w:r>
    </w:p>
    <w:p w14:paraId="45C78EC8" w14:textId="563713D0" w:rsidR="00D0562C" w:rsidRDefault="00D0562C" w:rsidP="00076D8F">
      <w:pPr>
        <w:numPr>
          <w:ilvl w:val="0"/>
          <w:numId w:val="2"/>
        </w:numPr>
      </w:pPr>
      <w:r>
        <w:t>Travel and conferences.</w:t>
      </w:r>
    </w:p>
    <w:p w14:paraId="3300DE0E" w14:textId="535EE626" w:rsidR="004E0267" w:rsidRPr="00076D8F" w:rsidRDefault="004E0267" w:rsidP="00076D8F">
      <w:pPr>
        <w:numPr>
          <w:ilvl w:val="0"/>
          <w:numId w:val="2"/>
        </w:numPr>
      </w:pPr>
      <w:r>
        <w:t>Organizations for regranting purposes.</w:t>
      </w:r>
    </w:p>
    <w:p w14:paraId="0712475C" w14:textId="50C74298" w:rsidR="00076D8F" w:rsidRPr="00796C8B" w:rsidRDefault="00076D8F" w:rsidP="00076D8F">
      <w:pPr>
        <w:numPr>
          <w:ilvl w:val="0"/>
          <w:numId w:val="2"/>
        </w:numPr>
      </w:pPr>
      <w:r w:rsidRPr="00076D8F">
        <w:t xml:space="preserve">Organizations that discriminate on the basis of </w:t>
      </w:r>
      <w:r w:rsidR="004E0267">
        <w:t xml:space="preserve">age, </w:t>
      </w:r>
      <w:r w:rsidRPr="00076D8F">
        <w:t xml:space="preserve">race, </w:t>
      </w:r>
      <w:r w:rsidR="004E0267">
        <w:t>national origin, ethnicity</w:t>
      </w:r>
      <w:r w:rsidRPr="00076D8F">
        <w:t xml:space="preserve">, gender, </w:t>
      </w:r>
      <w:r w:rsidR="00E04093">
        <w:t xml:space="preserve">physical ability, </w:t>
      </w:r>
      <w:r w:rsidRPr="00076D8F">
        <w:t xml:space="preserve">sexual orientation, </w:t>
      </w:r>
      <w:r w:rsidR="005308C6">
        <w:t xml:space="preserve">religious belief, </w:t>
      </w:r>
      <w:r w:rsidRPr="00076D8F">
        <w:t>or any other protected status</w:t>
      </w:r>
      <w:r w:rsidR="007A7110">
        <w:t>.</w:t>
      </w:r>
    </w:p>
    <w:p w14:paraId="14A006F0" w14:textId="1BAC552E" w:rsidR="00076D8F" w:rsidRPr="00076D8F" w:rsidRDefault="00076D8F" w:rsidP="00076D8F">
      <w:pPr>
        <w:rPr>
          <w:b/>
          <w:bCs/>
        </w:rPr>
      </w:pPr>
      <w:r w:rsidRPr="00076D8F">
        <w:rPr>
          <w:b/>
          <w:bCs/>
        </w:rPr>
        <w:t>Application Process</w:t>
      </w:r>
      <w:r w:rsidR="002D575C">
        <w:rPr>
          <w:b/>
          <w:bCs/>
        </w:rPr>
        <w:t>:</w:t>
      </w:r>
    </w:p>
    <w:p w14:paraId="5A36E1CE" w14:textId="4CF0CEF8" w:rsidR="00076D8F" w:rsidRPr="00076D8F" w:rsidRDefault="00076D8F" w:rsidP="00076D8F">
      <w:pPr>
        <w:numPr>
          <w:ilvl w:val="0"/>
          <w:numId w:val="3"/>
        </w:numPr>
      </w:pPr>
      <w:r w:rsidRPr="00076D8F">
        <w:rPr>
          <w:b/>
          <w:bCs/>
        </w:rPr>
        <w:t>Submit a</w:t>
      </w:r>
      <w:r w:rsidR="007C100D">
        <w:rPr>
          <w:b/>
          <w:bCs/>
        </w:rPr>
        <w:t xml:space="preserve"> </w:t>
      </w:r>
      <w:r w:rsidRPr="00076D8F">
        <w:rPr>
          <w:b/>
          <w:bCs/>
        </w:rPr>
        <w:t>grant application</w:t>
      </w:r>
      <w:r w:rsidR="00D53C32">
        <w:t>. Applications can be found on</w:t>
      </w:r>
      <w:r w:rsidRPr="00076D8F">
        <w:t xml:space="preserve"> The Dale Jr. Foundation website</w:t>
      </w:r>
      <w:r w:rsidR="007C100D">
        <w:t xml:space="preserve"> and may be submitted via emailed to tdjf@dalejr.com.</w:t>
      </w:r>
    </w:p>
    <w:p w14:paraId="068173A8" w14:textId="77777777" w:rsidR="00076D8F" w:rsidRPr="00076D8F" w:rsidRDefault="00076D8F" w:rsidP="00076D8F">
      <w:pPr>
        <w:numPr>
          <w:ilvl w:val="0"/>
          <w:numId w:val="3"/>
        </w:numPr>
      </w:pPr>
      <w:r w:rsidRPr="00076D8F">
        <w:t>Include a concise project description, specific funding needs, and a clear explanation of how the program aligns with one or more areas of giving.</w:t>
      </w:r>
    </w:p>
    <w:p w14:paraId="2F3EA303" w14:textId="77777777" w:rsidR="00076D8F" w:rsidRPr="00076D8F" w:rsidRDefault="00076D8F" w:rsidP="00076D8F">
      <w:pPr>
        <w:numPr>
          <w:ilvl w:val="0"/>
          <w:numId w:val="3"/>
        </w:numPr>
      </w:pPr>
      <w:r w:rsidRPr="00076D8F">
        <w:t>Provide the following attachments:</w:t>
      </w:r>
    </w:p>
    <w:p w14:paraId="11007FA9" w14:textId="77777777" w:rsidR="00076D8F" w:rsidRPr="00076D8F" w:rsidRDefault="00076D8F" w:rsidP="00076D8F">
      <w:pPr>
        <w:numPr>
          <w:ilvl w:val="1"/>
          <w:numId w:val="3"/>
        </w:numPr>
      </w:pPr>
      <w:r w:rsidRPr="00076D8F">
        <w:t>IRS 501(c)(3) determination letter</w:t>
      </w:r>
    </w:p>
    <w:p w14:paraId="5B2E3A81" w14:textId="77777777" w:rsidR="00076D8F" w:rsidRPr="00076D8F" w:rsidRDefault="00076D8F" w:rsidP="00076D8F">
      <w:pPr>
        <w:numPr>
          <w:ilvl w:val="1"/>
          <w:numId w:val="3"/>
        </w:numPr>
      </w:pPr>
      <w:r w:rsidRPr="00076D8F">
        <w:t>Most recent financial statement or Form 990</w:t>
      </w:r>
    </w:p>
    <w:p w14:paraId="178744FA" w14:textId="77777777" w:rsidR="00076D8F" w:rsidRPr="00076D8F" w:rsidRDefault="00076D8F" w:rsidP="00076D8F">
      <w:pPr>
        <w:numPr>
          <w:ilvl w:val="1"/>
          <w:numId w:val="3"/>
        </w:numPr>
      </w:pPr>
      <w:r w:rsidRPr="00076D8F">
        <w:t>Current annual budget</w:t>
      </w:r>
    </w:p>
    <w:p w14:paraId="3B6DE3B1" w14:textId="6CA3F779" w:rsidR="00076D8F" w:rsidRPr="00076D8F" w:rsidRDefault="00076D8F" w:rsidP="00076D8F">
      <w:pPr>
        <w:numPr>
          <w:ilvl w:val="0"/>
          <w:numId w:val="3"/>
        </w:numPr>
      </w:pPr>
      <w:r w:rsidRPr="00076D8F">
        <w:lastRenderedPageBreak/>
        <w:t>Applications are</w:t>
      </w:r>
      <w:r w:rsidR="00704131">
        <w:t xml:space="preserve"> generally</w:t>
      </w:r>
      <w:r w:rsidRPr="00076D8F">
        <w:t xml:space="preserve"> reviewed </w:t>
      </w:r>
      <w:r>
        <w:t>each November</w:t>
      </w:r>
      <w:r w:rsidRPr="00076D8F">
        <w:t>. Selected organizations will be notified via email regarding funding decisions.</w:t>
      </w:r>
    </w:p>
    <w:p w14:paraId="60B0FBE3" w14:textId="43B1228F" w:rsidR="00A633CB" w:rsidRDefault="00CA591F" w:rsidP="00CA591F">
      <w:r w:rsidRPr="00CA591F">
        <w:rPr>
          <w:b/>
          <w:bCs/>
        </w:rPr>
        <w:t>Reporting Requirements</w:t>
      </w:r>
      <w:r>
        <w:rPr>
          <w:b/>
          <w:bCs/>
        </w:rPr>
        <w:t xml:space="preserve">: </w:t>
      </w:r>
      <w:r>
        <w:t>Organizations that receive funding are required to provide a brief impact report summarizing how grant funds were used and the outcomes achieved.</w:t>
      </w:r>
    </w:p>
    <w:p w14:paraId="41DC2854" w14:textId="2E831F94" w:rsidR="00E40AB2" w:rsidRDefault="00E40AB2" w:rsidP="00CA591F">
      <w:pPr>
        <w:rPr>
          <w:b/>
          <w:bCs/>
        </w:rPr>
      </w:pPr>
      <w:r>
        <w:rPr>
          <w:b/>
          <w:bCs/>
        </w:rPr>
        <w:t xml:space="preserve">Overall Discretion: </w:t>
      </w:r>
      <w:r w:rsidRPr="00047861">
        <w:t xml:space="preserve">The Board of Directors of </w:t>
      </w:r>
      <w:r w:rsidR="004C290E" w:rsidRPr="00047861">
        <w:t xml:space="preserve">The Dale Jr. Foundation retains the power, authority and sole discretion on the applicability of these guidelines and the </w:t>
      </w:r>
      <w:r w:rsidR="00047861" w:rsidRPr="00047861">
        <w:t>ultimate grant making process.</w:t>
      </w:r>
    </w:p>
    <w:p w14:paraId="4C95F5A2" w14:textId="7511AB0E" w:rsidR="00A633CB" w:rsidRPr="00CA591F" w:rsidRDefault="00AD2868" w:rsidP="00CA591F">
      <w:r w:rsidRPr="00AD2868">
        <w:rPr>
          <w:b/>
          <w:bCs/>
        </w:rPr>
        <w:t xml:space="preserve">Partner </w:t>
      </w:r>
      <w:r w:rsidR="002F2C2B">
        <w:rPr>
          <w:b/>
          <w:bCs/>
        </w:rPr>
        <w:t xml:space="preserve">Charity </w:t>
      </w:r>
      <w:r w:rsidR="00F70325">
        <w:rPr>
          <w:b/>
          <w:bCs/>
        </w:rPr>
        <w:t xml:space="preserve">Grant </w:t>
      </w:r>
      <w:r w:rsidRPr="00AD2868">
        <w:rPr>
          <w:b/>
          <w:bCs/>
        </w:rPr>
        <w:t>Program</w:t>
      </w:r>
      <w:r>
        <w:t xml:space="preserve">: </w:t>
      </w:r>
      <w:r w:rsidR="00A633CB">
        <w:t xml:space="preserve"> </w:t>
      </w:r>
      <w:r w:rsidR="00E937E9">
        <w:t xml:space="preserve">The Dale Jr. Foundation has a select group of charities </w:t>
      </w:r>
      <w:r w:rsidR="00F70325">
        <w:t xml:space="preserve">that fall under the </w:t>
      </w:r>
      <w:r w:rsidR="00894E26">
        <w:t>P</w:t>
      </w:r>
      <w:r w:rsidR="00F70325">
        <w:t xml:space="preserve">artner </w:t>
      </w:r>
      <w:r w:rsidR="00894E26">
        <w:t>C</w:t>
      </w:r>
      <w:r w:rsidR="00F70325">
        <w:t xml:space="preserve">harity grant program </w:t>
      </w:r>
      <w:r w:rsidR="00E937E9">
        <w:t xml:space="preserve">and reserves the right to establish new charity partnerships </w:t>
      </w:r>
      <w:r w:rsidR="00F70325">
        <w:t xml:space="preserve">for this program </w:t>
      </w:r>
      <w:r w:rsidR="00E937E9" w:rsidRPr="008F46CA">
        <w:rPr>
          <w:b/>
          <w:bCs/>
        </w:rPr>
        <w:t>by invitation only</w:t>
      </w:r>
      <w:r w:rsidR="00E937E9">
        <w:t>.</w:t>
      </w:r>
    </w:p>
    <w:sectPr w:rsidR="00A633CB" w:rsidRPr="00CA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3E6C"/>
    <w:multiLevelType w:val="multilevel"/>
    <w:tmpl w:val="D8C6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5696E"/>
    <w:multiLevelType w:val="multilevel"/>
    <w:tmpl w:val="D13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B563B"/>
    <w:multiLevelType w:val="multilevel"/>
    <w:tmpl w:val="98D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261189">
    <w:abstractNumId w:val="2"/>
  </w:num>
  <w:num w:numId="2" w16cid:durableId="1389306925">
    <w:abstractNumId w:val="1"/>
  </w:num>
  <w:num w:numId="3" w16cid:durableId="155296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F"/>
    <w:rsid w:val="000444F1"/>
    <w:rsid w:val="00047861"/>
    <w:rsid w:val="00076D8F"/>
    <w:rsid w:val="000A40D6"/>
    <w:rsid w:val="000A723A"/>
    <w:rsid w:val="00160B58"/>
    <w:rsid w:val="00271919"/>
    <w:rsid w:val="002B2825"/>
    <w:rsid w:val="002D575C"/>
    <w:rsid w:val="002F2C2B"/>
    <w:rsid w:val="002F7F65"/>
    <w:rsid w:val="00311381"/>
    <w:rsid w:val="00323844"/>
    <w:rsid w:val="003253ED"/>
    <w:rsid w:val="00376B80"/>
    <w:rsid w:val="003A2577"/>
    <w:rsid w:val="003A5D45"/>
    <w:rsid w:val="003A651C"/>
    <w:rsid w:val="003C4840"/>
    <w:rsid w:val="003F4E5B"/>
    <w:rsid w:val="004110ED"/>
    <w:rsid w:val="004A1BB3"/>
    <w:rsid w:val="004C290E"/>
    <w:rsid w:val="004E0267"/>
    <w:rsid w:val="005012A7"/>
    <w:rsid w:val="00520B55"/>
    <w:rsid w:val="005308C6"/>
    <w:rsid w:val="005A0ED3"/>
    <w:rsid w:val="005B31BA"/>
    <w:rsid w:val="006A6456"/>
    <w:rsid w:val="00704131"/>
    <w:rsid w:val="00757FC5"/>
    <w:rsid w:val="0079441B"/>
    <w:rsid w:val="00796C8B"/>
    <w:rsid w:val="007A35DB"/>
    <w:rsid w:val="007A5054"/>
    <w:rsid w:val="007A7110"/>
    <w:rsid w:val="007C100D"/>
    <w:rsid w:val="008437D8"/>
    <w:rsid w:val="00875626"/>
    <w:rsid w:val="00894E26"/>
    <w:rsid w:val="008D556D"/>
    <w:rsid w:val="008F2407"/>
    <w:rsid w:val="008F3762"/>
    <w:rsid w:val="008F46CA"/>
    <w:rsid w:val="008F61A0"/>
    <w:rsid w:val="008F7DC2"/>
    <w:rsid w:val="00946813"/>
    <w:rsid w:val="009F7FE6"/>
    <w:rsid w:val="00A53C2C"/>
    <w:rsid w:val="00A633CB"/>
    <w:rsid w:val="00AB1399"/>
    <w:rsid w:val="00AC214A"/>
    <w:rsid w:val="00AC3134"/>
    <w:rsid w:val="00AD2868"/>
    <w:rsid w:val="00AE0AB5"/>
    <w:rsid w:val="00AE442B"/>
    <w:rsid w:val="00B35C54"/>
    <w:rsid w:val="00B6446E"/>
    <w:rsid w:val="00BA0A48"/>
    <w:rsid w:val="00BA5A8D"/>
    <w:rsid w:val="00CA591F"/>
    <w:rsid w:val="00CB3DDD"/>
    <w:rsid w:val="00CC69DE"/>
    <w:rsid w:val="00CE0E2E"/>
    <w:rsid w:val="00CE382B"/>
    <w:rsid w:val="00D0375D"/>
    <w:rsid w:val="00D0562C"/>
    <w:rsid w:val="00D13675"/>
    <w:rsid w:val="00D45248"/>
    <w:rsid w:val="00D53C32"/>
    <w:rsid w:val="00D64851"/>
    <w:rsid w:val="00D72084"/>
    <w:rsid w:val="00E04093"/>
    <w:rsid w:val="00E37B4E"/>
    <w:rsid w:val="00E40AB2"/>
    <w:rsid w:val="00E51541"/>
    <w:rsid w:val="00E937E9"/>
    <w:rsid w:val="00F53F9B"/>
    <w:rsid w:val="00F55FE2"/>
    <w:rsid w:val="00F70325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03D2"/>
  <w15:chartTrackingRefBased/>
  <w15:docId w15:val="{62CF2D54-36BF-455B-83AE-2C8E77A1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Leibee</dc:creator>
  <cp:keywords/>
  <dc:description/>
  <cp:lastModifiedBy>Jenni Leibee</cp:lastModifiedBy>
  <cp:revision>71</cp:revision>
  <dcterms:created xsi:type="dcterms:W3CDTF">2025-10-15T19:50:00Z</dcterms:created>
  <dcterms:modified xsi:type="dcterms:W3CDTF">2025-12-10T22:00:00Z</dcterms:modified>
</cp:coreProperties>
</file>